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77777777" w:rsidR="00DF2656" w:rsidRDefault="00000000">
      <w:pPr>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 xml:space="preserve">Joint CSO Statement on the 2021 Zambia Extractive Industries Transparency Initiative (ZEITI) Report and Mining Governance </w:t>
      </w:r>
    </w:p>
    <w:p w14:paraId="00000005" w14:textId="77777777" w:rsidR="00DF2656" w:rsidRDefault="00DF2656">
      <w:pPr>
        <w:jc w:val="both"/>
        <w:rPr>
          <w:rFonts w:ascii="Times New Roman" w:eastAsia="Times New Roman" w:hAnsi="Times New Roman" w:cs="Times New Roman"/>
          <w:sz w:val="32"/>
          <w:szCs w:val="32"/>
        </w:rPr>
      </w:pPr>
    </w:p>
    <w:p w14:paraId="00000006" w14:textId="77777777" w:rsidR="00DF2656" w:rsidRDefault="00000000">
      <w:pPr>
        <w:jc w:val="both"/>
        <w:rPr>
          <w:rFonts w:ascii="Times New Roman" w:eastAsia="Times New Roman" w:hAnsi="Times New Roman" w:cs="Times New Roman"/>
          <w:i/>
          <w:sz w:val="32"/>
          <w:szCs w:val="32"/>
        </w:rPr>
      </w:pPr>
      <w:r>
        <w:rPr>
          <w:rFonts w:ascii="Times New Roman" w:eastAsia="Times New Roman" w:hAnsi="Times New Roman" w:cs="Times New Roman"/>
          <w:i/>
          <w:sz w:val="32"/>
          <w:szCs w:val="32"/>
        </w:rPr>
        <w:t>For release on Monday 28</w:t>
      </w:r>
      <w:r>
        <w:rPr>
          <w:rFonts w:ascii="Times New Roman" w:eastAsia="Times New Roman" w:hAnsi="Times New Roman" w:cs="Times New Roman"/>
          <w:i/>
          <w:sz w:val="32"/>
          <w:szCs w:val="32"/>
          <w:vertAlign w:val="superscript"/>
        </w:rPr>
        <w:t>th</w:t>
      </w:r>
      <w:r>
        <w:rPr>
          <w:rFonts w:ascii="Times New Roman" w:eastAsia="Times New Roman" w:hAnsi="Times New Roman" w:cs="Times New Roman"/>
          <w:i/>
          <w:sz w:val="32"/>
          <w:szCs w:val="32"/>
        </w:rPr>
        <w:t xml:space="preserve"> August 2023</w:t>
      </w:r>
    </w:p>
    <w:p w14:paraId="00000007" w14:textId="77777777" w:rsidR="00DF2656" w:rsidRDefault="00DF2656">
      <w:pPr>
        <w:jc w:val="both"/>
        <w:rPr>
          <w:rFonts w:ascii="Times New Roman" w:eastAsia="Times New Roman" w:hAnsi="Times New Roman" w:cs="Times New Roman"/>
          <w:sz w:val="32"/>
          <w:szCs w:val="32"/>
        </w:rPr>
      </w:pPr>
    </w:p>
    <w:p w14:paraId="00000008" w14:textId="39F5CFC9"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Publish What You Pay (PWYP), which is a coalition of civil society </w:t>
      </w:r>
      <w:proofErr w:type="spellStart"/>
      <w:r>
        <w:rPr>
          <w:rFonts w:ascii="Times New Roman" w:eastAsia="Times New Roman" w:hAnsi="Times New Roman" w:cs="Times New Roman"/>
          <w:sz w:val="32"/>
          <w:szCs w:val="32"/>
        </w:rPr>
        <w:t>organisation</w:t>
      </w:r>
      <w:proofErr w:type="spellEnd"/>
      <w:r>
        <w:rPr>
          <w:rFonts w:ascii="Times New Roman" w:eastAsia="Times New Roman" w:hAnsi="Times New Roman" w:cs="Times New Roman"/>
          <w:sz w:val="32"/>
          <w:szCs w:val="32"/>
        </w:rPr>
        <w:t xml:space="preserve"> (CSO) working in extractives; coordinated over 10 Civil Society organisations (CSOs) in analyzing the 14</w:t>
      </w:r>
      <w:r>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w:t>
      </w:r>
      <w:r w:rsidR="00570955">
        <w:rPr>
          <w:rFonts w:ascii="Times New Roman" w:eastAsia="Times New Roman" w:hAnsi="Times New Roman" w:cs="Times New Roman"/>
          <w:sz w:val="32"/>
          <w:szCs w:val="32"/>
        </w:rPr>
        <w:t>report Zambia</w:t>
      </w:r>
      <w:r>
        <w:rPr>
          <w:rFonts w:ascii="Times New Roman" w:eastAsia="Times New Roman" w:hAnsi="Times New Roman" w:cs="Times New Roman"/>
          <w:sz w:val="32"/>
          <w:szCs w:val="32"/>
        </w:rPr>
        <w:t xml:space="preserve"> Extractive Industries Transparency Initiative (ZEITI) report covering the financial year 2021. </w:t>
      </w:r>
    </w:p>
    <w:p w14:paraId="00000009" w14:textId="77777777" w:rsidR="00DF2656" w:rsidRDefault="00DF2656">
      <w:pPr>
        <w:jc w:val="both"/>
        <w:rPr>
          <w:rFonts w:ascii="Times New Roman" w:eastAsia="Times New Roman" w:hAnsi="Times New Roman" w:cs="Times New Roman"/>
          <w:sz w:val="32"/>
          <w:szCs w:val="32"/>
        </w:rPr>
      </w:pPr>
    </w:p>
    <w:p w14:paraId="0000000A" w14:textId="77777777"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Being a globally recognized initiative, the EITI promotes good governance in the management of natural resources such as oil, gas, and minerals. The EITI seeks to address governance bottlenecks and challenges in the extractive sector. Zambia, having agreed to the EITI, has been producing periodic extractive industry reports as is required for countries implementing the EITI Standard. </w:t>
      </w:r>
    </w:p>
    <w:p w14:paraId="0000000B" w14:textId="77777777" w:rsidR="00DF2656" w:rsidRDefault="00DF2656">
      <w:pPr>
        <w:jc w:val="both"/>
        <w:rPr>
          <w:rFonts w:ascii="Times New Roman" w:eastAsia="Times New Roman" w:hAnsi="Times New Roman" w:cs="Times New Roman"/>
          <w:sz w:val="32"/>
          <w:szCs w:val="32"/>
        </w:rPr>
      </w:pPr>
    </w:p>
    <w:p w14:paraId="0000000C" w14:textId="77777777"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 analyzing the ZEITI report, as CSO’s, we sought to:</w:t>
      </w:r>
    </w:p>
    <w:p w14:paraId="0000000D" w14:textId="77777777" w:rsidR="00DF2656" w:rsidRDefault="00DF2656">
      <w:pPr>
        <w:jc w:val="both"/>
        <w:rPr>
          <w:rFonts w:ascii="Times New Roman" w:eastAsia="Times New Roman" w:hAnsi="Times New Roman" w:cs="Times New Roman"/>
          <w:sz w:val="32"/>
          <w:szCs w:val="32"/>
        </w:rPr>
      </w:pPr>
    </w:p>
    <w:p w14:paraId="0000000E" w14:textId="77777777" w:rsidR="00DF2656"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Increase public discussion and debate pertaining to the ZEITI report findings and other related governance issues in the mining sector.</w:t>
      </w:r>
    </w:p>
    <w:p w14:paraId="0000000F" w14:textId="77777777" w:rsidR="00DF2656"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Provide recommendations based on the ZEITI report findings which would contribute to the governance of the mining sector in Zambia.</w:t>
      </w:r>
    </w:p>
    <w:p w14:paraId="00000010" w14:textId="77777777" w:rsidR="00DF2656" w:rsidRDefault="00DF2656">
      <w:pPr>
        <w:jc w:val="both"/>
        <w:rPr>
          <w:rFonts w:ascii="Times New Roman" w:eastAsia="Times New Roman" w:hAnsi="Times New Roman" w:cs="Times New Roman"/>
          <w:sz w:val="32"/>
          <w:szCs w:val="32"/>
        </w:rPr>
      </w:pPr>
    </w:p>
    <w:p w14:paraId="00000011" w14:textId="195ED28B"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 line with the analysis, CSO’s would therefore like to highlight to the public the </w:t>
      </w:r>
      <w:r w:rsidR="00570955">
        <w:rPr>
          <w:rFonts w:ascii="Times New Roman" w:eastAsia="Times New Roman" w:hAnsi="Times New Roman" w:cs="Times New Roman"/>
          <w:sz w:val="32"/>
          <w:szCs w:val="32"/>
        </w:rPr>
        <w:t>key thematic</w:t>
      </w:r>
      <w:r>
        <w:rPr>
          <w:rFonts w:ascii="Times New Roman" w:eastAsia="Times New Roman" w:hAnsi="Times New Roman" w:cs="Times New Roman"/>
          <w:sz w:val="32"/>
          <w:szCs w:val="32"/>
        </w:rPr>
        <w:t xml:space="preserve"> observations and recommendations from our analysis </w:t>
      </w:r>
      <w:r w:rsidR="00B31206">
        <w:rPr>
          <w:rFonts w:ascii="Times New Roman" w:eastAsia="Times New Roman" w:hAnsi="Times New Roman" w:cs="Times New Roman"/>
          <w:sz w:val="32"/>
          <w:szCs w:val="32"/>
        </w:rPr>
        <w:t>of the</w:t>
      </w:r>
      <w:r>
        <w:rPr>
          <w:rFonts w:ascii="Times New Roman" w:eastAsia="Times New Roman" w:hAnsi="Times New Roman" w:cs="Times New Roman"/>
          <w:sz w:val="32"/>
          <w:szCs w:val="32"/>
        </w:rPr>
        <w:t xml:space="preserve"> 2021 ZEITI report regarding mining sector performance.</w:t>
      </w:r>
    </w:p>
    <w:p w14:paraId="00000012" w14:textId="77777777" w:rsidR="00DF2656" w:rsidRDefault="00DF2656">
      <w:pPr>
        <w:jc w:val="both"/>
        <w:rPr>
          <w:rFonts w:ascii="Times New Roman" w:eastAsia="Times New Roman" w:hAnsi="Times New Roman" w:cs="Times New Roman"/>
          <w:sz w:val="32"/>
          <w:szCs w:val="32"/>
        </w:rPr>
      </w:pPr>
    </w:p>
    <w:p w14:paraId="00000013" w14:textId="67747EEE"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You may wish </w:t>
      </w:r>
      <w:r w:rsidR="00570955">
        <w:rPr>
          <w:rFonts w:ascii="Times New Roman" w:eastAsia="Times New Roman" w:hAnsi="Times New Roman" w:cs="Times New Roman"/>
          <w:sz w:val="32"/>
          <w:szCs w:val="32"/>
        </w:rPr>
        <w:t>to note</w:t>
      </w:r>
      <w:r>
        <w:rPr>
          <w:rFonts w:ascii="Times New Roman" w:eastAsia="Times New Roman" w:hAnsi="Times New Roman" w:cs="Times New Roman"/>
          <w:sz w:val="32"/>
          <w:szCs w:val="32"/>
        </w:rPr>
        <w:t xml:space="preserve"> that the recommendations for the purpose of this meeting are not exhaustive but reflective of the salient issues observed.</w:t>
      </w:r>
    </w:p>
    <w:p w14:paraId="674CEE8B" w14:textId="77777777" w:rsidR="00710570" w:rsidRDefault="00710570">
      <w:pPr>
        <w:jc w:val="both"/>
        <w:rPr>
          <w:rFonts w:ascii="Times New Roman" w:eastAsia="Times New Roman" w:hAnsi="Times New Roman" w:cs="Times New Roman"/>
          <w:sz w:val="32"/>
          <w:szCs w:val="32"/>
        </w:rPr>
      </w:pPr>
    </w:p>
    <w:p w14:paraId="00000014" w14:textId="77777777" w:rsidR="00DF2656" w:rsidRDefault="00DF2656">
      <w:pPr>
        <w:jc w:val="both"/>
        <w:rPr>
          <w:rFonts w:ascii="Times New Roman" w:eastAsia="Times New Roman" w:hAnsi="Times New Roman" w:cs="Times New Roman"/>
          <w:sz w:val="32"/>
          <w:szCs w:val="32"/>
        </w:rPr>
      </w:pPr>
    </w:p>
    <w:p w14:paraId="00000015" w14:textId="77777777" w:rsidR="00DF2656" w:rsidRDefault="00000000">
      <w:pPr>
        <w:numPr>
          <w:ilvl w:val="0"/>
          <w:numId w:val="2"/>
        </w:numPr>
        <w:jc w:val="both"/>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Disclosure of Revenues and the sector’s contribution to the economy</w:t>
      </w:r>
    </w:p>
    <w:p w14:paraId="00000016" w14:textId="77777777" w:rsidR="00DF2656" w:rsidRDefault="00DF2656">
      <w:pPr>
        <w:jc w:val="both"/>
        <w:rPr>
          <w:rFonts w:ascii="Times New Roman" w:eastAsia="Times New Roman" w:hAnsi="Times New Roman" w:cs="Times New Roman"/>
          <w:sz w:val="32"/>
          <w:szCs w:val="32"/>
        </w:rPr>
      </w:pPr>
    </w:p>
    <w:p w14:paraId="00000017" w14:textId="725EFD7F"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The ZEITI report shows an overall increase of revenues from the 14 companies, whose revenues comprise over 90% of the total revenues generated from mining companies in Zambia. Extractive revenues collected by the government in 2021 amounted to ZMW36,442 million.  The report attributed improved compliance to tax </w:t>
      </w:r>
      <w:r w:rsidR="00570955">
        <w:rPr>
          <w:rFonts w:ascii="Times New Roman" w:eastAsia="Times New Roman" w:hAnsi="Times New Roman" w:cs="Times New Roman"/>
          <w:sz w:val="32"/>
          <w:szCs w:val="32"/>
        </w:rPr>
        <w:t>payments to</w:t>
      </w:r>
      <w:r>
        <w:rPr>
          <w:rFonts w:ascii="Times New Roman" w:eastAsia="Times New Roman" w:hAnsi="Times New Roman" w:cs="Times New Roman"/>
          <w:sz w:val="32"/>
          <w:szCs w:val="32"/>
        </w:rPr>
        <w:t xml:space="preserve"> the increased gross revenue from the mining sector.</w:t>
      </w:r>
    </w:p>
    <w:p w14:paraId="00000018" w14:textId="77777777" w:rsidR="00DF2656" w:rsidRDefault="00DF2656">
      <w:pPr>
        <w:jc w:val="both"/>
        <w:rPr>
          <w:rFonts w:ascii="Times New Roman" w:eastAsia="Times New Roman" w:hAnsi="Times New Roman" w:cs="Times New Roman"/>
          <w:sz w:val="32"/>
          <w:szCs w:val="32"/>
        </w:rPr>
      </w:pPr>
    </w:p>
    <w:p w14:paraId="00000019" w14:textId="77777777"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report shows that the mining sector has continued to be the largest contributor to the country’s export earnings, contributing to 77% in 2021. The sector has also continued to be a critical source of government revenue accounting for 39% of total government revenue in 2021. </w:t>
      </w:r>
    </w:p>
    <w:p w14:paraId="0000001A" w14:textId="77777777" w:rsidR="00DF2656" w:rsidRDefault="00DF2656">
      <w:pPr>
        <w:jc w:val="both"/>
        <w:rPr>
          <w:rFonts w:ascii="Times New Roman" w:eastAsia="Times New Roman" w:hAnsi="Times New Roman" w:cs="Times New Roman"/>
          <w:sz w:val="32"/>
          <w:szCs w:val="32"/>
        </w:rPr>
      </w:pPr>
    </w:p>
    <w:p w14:paraId="0000001B" w14:textId="0219DA3D"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Despite these positive </w:t>
      </w:r>
      <w:r w:rsidR="00570955">
        <w:rPr>
          <w:rFonts w:ascii="Times New Roman" w:eastAsia="Times New Roman" w:hAnsi="Times New Roman" w:cs="Times New Roman"/>
          <w:sz w:val="32"/>
          <w:szCs w:val="32"/>
        </w:rPr>
        <w:t xml:space="preserve">trends, </w:t>
      </w:r>
      <w:r w:rsidR="00B31206">
        <w:rPr>
          <w:rFonts w:ascii="Times New Roman" w:eastAsia="Times New Roman" w:hAnsi="Times New Roman" w:cs="Times New Roman"/>
          <w:sz w:val="32"/>
          <w:szCs w:val="32"/>
        </w:rPr>
        <w:t>we noted</w:t>
      </w:r>
      <w:r>
        <w:rPr>
          <w:rFonts w:ascii="Times New Roman" w:eastAsia="Times New Roman" w:hAnsi="Times New Roman" w:cs="Times New Roman"/>
          <w:sz w:val="32"/>
          <w:szCs w:val="32"/>
        </w:rPr>
        <w:t xml:space="preserve"> that the sector’s contribution to Gross Domestic Product (GDP) decreased by one per cent; from 11 % in 2020 to 10% per cent in 2021. Additionally, contributions to exports decreased by two percent, from 79% in 2020 to 77% in 2021. However, the report shows that the mining sector’s contribution to employment has stagnated at 2% which underscores the need for discussion and interventions on how the sector can contribute to employment creation both directly and indirectly.</w:t>
      </w:r>
    </w:p>
    <w:p w14:paraId="0000001C" w14:textId="77777777" w:rsidR="00DF2656" w:rsidRDefault="00DF2656">
      <w:pPr>
        <w:jc w:val="both"/>
        <w:rPr>
          <w:rFonts w:ascii="Times New Roman" w:eastAsia="Times New Roman" w:hAnsi="Times New Roman" w:cs="Times New Roman"/>
          <w:sz w:val="32"/>
          <w:szCs w:val="32"/>
        </w:rPr>
      </w:pPr>
    </w:p>
    <w:p w14:paraId="0000001D" w14:textId="0EED55C7"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We make the following </w:t>
      </w:r>
      <w:r w:rsidR="00570955">
        <w:rPr>
          <w:rFonts w:ascii="Times New Roman" w:eastAsia="Times New Roman" w:hAnsi="Times New Roman" w:cs="Times New Roman"/>
          <w:sz w:val="32"/>
          <w:szCs w:val="32"/>
        </w:rPr>
        <w:t>recommendations pertaining</w:t>
      </w:r>
      <w:r>
        <w:rPr>
          <w:rFonts w:ascii="Times New Roman" w:eastAsia="Times New Roman" w:hAnsi="Times New Roman" w:cs="Times New Roman"/>
          <w:sz w:val="32"/>
          <w:szCs w:val="32"/>
        </w:rPr>
        <w:t xml:space="preserve"> to revenue disclosures and the mining sector’s contribution:</w:t>
      </w:r>
    </w:p>
    <w:p w14:paraId="0000001E" w14:textId="77777777" w:rsidR="00DF2656" w:rsidRDefault="00DF2656">
      <w:pPr>
        <w:jc w:val="both"/>
        <w:rPr>
          <w:rFonts w:ascii="Times New Roman" w:eastAsia="Times New Roman" w:hAnsi="Times New Roman" w:cs="Times New Roman"/>
          <w:sz w:val="32"/>
          <w:szCs w:val="32"/>
        </w:rPr>
      </w:pPr>
    </w:p>
    <w:p w14:paraId="0000001F" w14:textId="55CCFF45" w:rsidR="00DF2656" w:rsidRDefault="00B31206">
      <w:pPr>
        <w:numPr>
          <w:ilvl w:val="0"/>
          <w:numId w:val="4"/>
        </w:numPr>
        <w:pBdr>
          <w:top w:val="nil"/>
          <w:left w:val="nil"/>
          <w:bottom w:val="nil"/>
          <w:right w:val="nil"/>
          <w:between w:val="nil"/>
        </w:pBdr>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The </w:t>
      </w:r>
      <w:r>
        <w:rPr>
          <w:rFonts w:ascii="Times New Roman" w:eastAsia="Times New Roman" w:hAnsi="Times New Roman" w:cs="Times New Roman"/>
          <w:sz w:val="32"/>
          <w:szCs w:val="32"/>
        </w:rPr>
        <w:t>Government of the Republic of Zambia</w:t>
      </w:r>
      <w:r w:rsidR="00570955">
        <w:rPr>
          <w:rFonts w:ascii="Times New Roman" w:eastAsia="Times New Roman" w:hAnsi="Times New Roman" w:cs="Times New Roman"/>
          <w:sz w:val="32"/>
          <w:szCs w:val="32"/>
        </w:rPr>
        <w:t xml:space="preserve"> must</w:t>
      </w:r>
      <w:r>
        <w:rPr>
          <w:rFonts w:ascii="Times New Roman" w:eastAsia="Times New Roman" w:hAnsi="Times New Roman" w:cs="Times New Roman"/>
          <w:sz w:val="32"/>
          <w:szCs w:val="32"/>
        </w:rPr>
        <w:t xml:space="preserve"> address dormant mines like </w:t>
      </w:r>
      <w:proofErr w:type="spellStart"/>
      <w:r>
        <w:rPr>
          <w:rFonts w:ascii="Times New Roman" w:eastAsia="Times New Roman" w:hAnsi="Times New Roman" w:cs="Times New Roman"/>
          <w:sz w:val="32"/>
          <w:szCs w:val="32"/>
        </w:rPr>
        <w:t>Konkola</w:t>
      </w:r>
      <w:proofErr w:type="spellEnd"/>
      <w:r>
        <w:rPr>
          <w:rFonts w:ascii="Times New Roman" w:eastAsia="Times New Roman" w:hAnsi="Times New Roman" w:cs="Times New Roman"/>
          <w:sz w:val="32"/>
          <w:szCs w:val="32"/>
        </w:rPr>
        <w:t xml:space="preserve"> Copper Mines (KCM) and Mopani Copper Mines (MCM) urgently, as their current status has a negative effect on   mineral production. </w:t>
      </w:r>
    </w:p>
    <w:p w14:paraId="00000020" w14:textId="18BE403C" w:rsidR="00DF2656" w:rsidRDefault="00000000">
      <w:pPr>
        <w:numPr>
          <w:ilvl w:val="0"/>
          <w:numId w:val="4"/>
        </w:numPr>
        <w:pBdr>
          <w:top w:val="nil"/>
          <w:left w:val="nil"/>
          <w:bottom w:val="nil"/>
          <w:right w:val="nil"/>
          <w:between w:val="nil"/>
        </w:pBdr>
        <w:jc w:val="both"/>
        <w:rPr>
          <w:rFonts w:ascii="Times New Roman" w:eastAsia="Times New Roman" w:hAnsi="Times New Roman" w:cs="Times New Roman"/>
          <w:color w:val="000000"/>
          <w:sz w:val="32"/>
          <w:szCs w:val="32"/>
        </w:rPr>
      </w:pPr>
      <w:r>
        <w:rPr>
          <w:rFonts w:ascii="Times New Roman" w:eastAsia="Times New Roman" w:hAnsi="Times New Roman" w:cs="Times New Roman"/>
          <w:sz w:val="32"/>
          <w:szCs w:val="32"/>
        </w:rPr>
        <w:t xml:space="preserve">The Ministry of Mines and Minerals Development (MMMD) should invest more in exploration and </w:t>
      </w:r>
      <w:r w:rsidR="00570955">
        <w:rPr>
          <w:rFonts w:ascii="Times New Roman" w:eastAsia="Times New Roman" w:hAnsi="Times New Roman" w:cs="Times New Roman"/>
          <w:sz w:val="32"/>
          <w:szCs w:val="32"/>
        </w:rPr>
        <w:t>geological data</w:t>
      </w:r>
      <w:r>
        <w:rPr>
          <w:rFonts w:ascii="Times New Roman" w:eastAsia="Times New Roman" w:hAnsi="Times New Roman" w:cs="Times New Roman"/>
          <w:sz w:val="32"/>
          <w:szCs w:val="32"/>
        </w:rPr>
        <w:t xml:space="preserve"> to better the understanding of Zambia’s mineral reserves, aiding informed investor negotiations. </w:t>
      </w:r>
    </w:p>
    <w:p w14:paraId="00000021" w14:textId="5A9D00D5" w:rsidR="00DF2656" w:rsidRDefault="00000000">
      <w:pPr>
        <w:numPr>
          <w:ilvl w:val="0"/>
          <w:numId w:val="4"/>
        </w:numPr>
        <w:pBdr>
          <w:top w:val="nil"/>
          <w:left w:val="nil"/>
          <w:bottom w:val="nil"/>
          <w:right w:val="nil"/>
          <w:between w:val="nil"/>
        </w:pBdr>
        <w:jc w:val="both"/>
        <w:rPr>
          <w:rFonts w:ascii="Times New Roman" w:eastAsia="Times New Roman" w:hAnsi="Times New Roman" w:cs="Times New Roman"/>
          <w:color w:val="000000"/>
          <w:sz w:val="32"/>
          <w:szCs w:val="32"/>
        </w:rPr>
      </w:pPr>
      <w:r>
        <w:rPr>
          <w:rFonts w:ascii="Times New Roman" w:eastAsia="Times New Roman" w:hAnsi="Times New Roman" w:cs="Times New Roman"/>
          <w:sz w:val="32"/>
          <w:szCs w:val="32"/>
        </w:rPr>
        <w:t xml:space="preserve"> We recommend increasing the budget allocation to the </w:t>
      </w:r>
      <w:r w:rsidR="00B31206">
        <w:rPr>
          <w:rFonts w:ascii="Times New Roman" w:eastAsia="Times New Roman" w:hAnsi="Times New Roman" w:cs="Times New Roman"/>
          <w:sz w:val="32"/>
          <w:szCs w:val="32"/>
        </w:rPr>
        <w:t>MMMD by</w:t>
      </w:r>
      <w:r>
        <w:rPr>
          <w:rFonts w:ascii="Times New Roman" w:eastAsia="Times New Roman" w:hAnsi="Times New Roman" w:cs="Times New Roman"/>
          <w:sz w:val="32"/>
          <w:szCs w:val="32"/>
        </w:rPr>
        <w:t xml:space="preserve"> at least 1% in the 2024 national budget, given the sector's economic significance.</w:t>
      </w:r>
    </w:p>
    <w:p w14:paraId="00000022" w14:textId="77777777" w:rsidR="00DF2656" w:rsidRDefault="00000000">
      <w:pPr>
        <w:numPr>
          <w:ilvl w:val="0"/>
          <w:numId w:val="4"/>
        </w:numPr>
        <w:pBdr>
          <w:top w:val="nil"/>
          <w:left w:val="nil"/>
          <w:bottom w:val="nil"/>
          <w:right w:val="nil"/>
          <w:between w:val="nil"/>
        </w:pBdr>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To enhance transparency, it is crucial that relevant information regarding investment portfolios and shareholding remittances for the Industrial Development Corporation (IDC) and Zambia Cons</w:t>
      </w:r>
      <w:r>
        <w:rPr>
          <w:rFonts w:ascii="Times New Roman" w:eastAsia="Times New Roman" w:hAnsi="Times New Roman" w:cs="Times New Roman"/>
          <w:sz w:val="32"/>
          <w:szCs w:val="32"/>
        </w:rPr>
        <w:t>olidated Copper Mines Investment Holdings (</w:t>
      </w:r>
      <w:r>
        <w:rPr>
          <w:rFonts w:ascii="Times New Roman" w:eastAsia="Times New Roman" w:hAnsi="Times New Roman" w:cs="Times New Roman"/>
          <w:color w:val="000000"/>
          <w:sz w:val="32"/>
          <w:szCs w:val="32"/>
        </w:rPr>
        <w:t>ZCCM-IH) are disclosed in subsequent reports</w:t>
      </w:r>
      <w:r>
        <w:rPr>
          <w:rFonts w:ascii="Times New Roman" w:eastAsia="Times New Roman" w:hAnsi="Times New Roman" w:cs="Times New Roman"/>
          <w:sz w:val="32"/>
          <w:szCs w:val="32"/>
        </w:rPr>
        <w:t>.</w:t>
      </w:r>
    </w:p>
    <w:p w14:paraId="00000023" w14:textId="77777777" w:rsidR="00DF2656" w:rsidRDefault="00000000">
      <w:pPr>
        <w:numPr>
          <w:ilvl w:val="0"/>
          <w:numId w:val="4"/>
        </w:numPr>
        <w:pBdr>
          <w:top w:val="nil"/>
          <w:left w:val="nil"/>
          <w:bottom w:val="nil"/>
          <w:right w:val="nil"/>
          <w:between w:val="nil"/>
        </w:pBdr>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To ensure effective revenue collection by local authorities, it is essential to have complete information on the amounts local authorities are collecting from mining companies compared against what local authorities should be collecting. </w:t>
      </w:r>
    </w:p>
    <w:p w14:paraId="00000024" w14:textId="43D08213" w:rsidR="00DF2656" w:rsidRDefault="00000000">
      <w:pPr>
        <w:numPr>
          <w:ilvl w:val="0"/>
          <w:numId w:val="4"/>
        </w:numPr>
        <w:pBdr>
          <w:top w:val="nil"/>
          <w:left w:val="nil"/>
          <w:bottom w:val="nil"/>
          <w:right w:val="nil"/>
          <w:between w:val="nil"/>
        </w:pBdr>
        <w:spacing w:after="200"/>
        <w:jc w:val="both"/>
        <w:rPr>
          <w:rFonts w:ascii="Times New Roman" w:eastAsia="Times New Roman" w:hAnsi="Times New Roman" w:cs="Times New Roman"/>
          <w:color w:val="000000"/>
          <w:sz w:val="32"/>
          <w:szCs w:val="32"/>
        </w:rPr>
      </w:pPr>
      <w:r>
        <w:rPr>
          <w:rFonts w:ascii="Times New Roman" w:eastAsia="Times New Roman" w:hAnsi="Times New Roman" w:cs="Times New Roman"/>
          <w:sz w:val="32"/>
          <w:szCs w:val="32"/>
        </w:rPr>
        <w:t xml:space="preserve">The </w:t>
      </w:r>
      <w:r>
        <w:rPr>
          <w:rFonts w:ascii="Times New Roman" w:eastAsia="Times New Roman" w:hAnsi="Times New Roman" w:cs="Times New Roman"/>
          <w:color w:val="000000"/>
          <w:sz w:val="32"/>
          <w:szCs w:val="32"/>
        </w:rPr>
        <w:t xml:space="preserve">Artisanal and Small-scale Mining (ASM) </w:t>
      </w:r>
      <w:r>
        <w:rPr>
          <w:rFonts w:ascii="Times New Roman" w:eastAsia="Times New Roman" w:hAnsi="Times New Roman" w:cs="Times New Roman"/>
          <w:sz w:val="32"/>
          <w:szCs w:val="32"/>
        </w:rPr>
        <w:t>sub-sector</w:t>
      </w:r>
      <w:r>
        <w:rPr>
          <w:rFonts w:ascii="Times New Roman" w:eastAsia="Times New Roman" w:hAnsi="Times New Roman" w:cs="Times New Roman"/>
          <w:color w:val="000000"/>
          <w:sz w:val="32"/>
          <w:szCs w:val="32"/>
        </w:rPr>
        <w:t xml:space="preserve"> monitoring mechanisms should be strengthened by leveraging information technology systems </w:t>
      </w:r>
      <w:r>
        <w:rPr>
          <w:rFonts w:ascii="Times New Roman" w:eastAsia="Times New Roman" w:hAnsi="Times New Roman" w:cs="Times New Roman"/>
          <w:sz w:val="32"/>
          <w:szCs w:val="32"/>
        </w:rPr>
        <w:t>and r</w:t>
      </w:r>
      <w:r>
        <w:rPr>
          <w:rFonts w:ascii="Times New Roman" w:eastAsia="Times New Roman" w:hAnsi="Times New Roman" w:cs="Times New Roman"/>
          <w:color w:val="000000"/>
          <w:sz w:val="32"/>
          <w:szCs w:val="32"/>
        </w:rPr>
        <w:t>ecruitment of highly qualified personnel</w:t>
      </w:r>
      <w:r>
        <w:rPr>
          <w:rFonts w:ascii="Times New Roman" w:eastAsia="Times New Roman" w:hAnsi="Times New Roman" w:cs="Times New Roman"/>
          <w:sz w:val="32"/>
          <w:szCs w:val="32"/>
        </w:rPr>
        <w:t xml:space="preserve">; </w:t>
      </w:r>
      <w:r>
        <w:rPr>
          <w:rFonts w:ascii="Times New Roman" w:eastAsia="Times New Roman" w:hAnsi="Times New Roman" w:cs="Times New Roman"/>
          <w:color w:val="000000"/>
          <w:sz w:val="32"/>
          <w:szCs w:val="32"/>
        </w:rPr>
        <w:t>particularly for regional bureaus</w:t>
      </w:r>
      <w:r>
        <w:rPr>
          <w:rFonts w:ascii="Times New Roman" w:eastAsia="Times New Roman" w:hAnsi="Times New Roman" w:cs="Times New Roman"/>
          <w:sz w:val="32"/>
          <w:szCs w:val="32"/>
        </w:rPr>
        <w:t xml:space="preserve"> - t</w:t>
      </w:r>
      <w:r>
        <w:rPr>
          <w:rFonts w:ascii="Times New Roman" w:eastAsia="Times New Roman" w:hAnsi="Times New Roman" w:cs="Times New Roman"/>
          <w:color w:val="000000"/>
          <w:sz w:val="32"/>
          <w:szCs w:val="32"/>
        </w:rPr>
        <w:t xml:space="preserve">he proposed Minerals Regulation Commission would enhance operational efficiency. Additionally, the Mineral Value Chain Monitoring Project (MVCMP) should be reinforced and introduced in the </w:t>
      </w:r>
      <w:r w:rsidR="00570955">
        <w:rPr>
          <w:rFonts w:ascii="Times New Roman" w:eastAsia="Times New Roman" w:hAnsi="Times New Roman" w:cs="Times New Roman"/>
          <w:sz w:val="32"/>
          <w:szCs w:val="32"/>
        </w:rPr>
        <w:t xml:space="preserve">ASM </w:t>
      </w:r>
      <w:r w:rsidR="00570955">
        <w:rPr>
          <w:rFonts w:ascii="Times New Roman" w:eastAsia="Times New Roman" w:hAnsi="Times New Roman" w:cs="Times New Roman"/>
          <w:color w:val="000000"/>
          <w:sz w:val="32"/>
          <w:szCs w:val="32"/>
        </w:rPr>
        <w:t>to</w:t>
      </w:r>
      <w:r>
        <w:rPr>
          <w:rFonts w:ascii="Times New Roman" w:eastAsia="Times New Roman" w:hAnsi="Times New Roman" w:cs="Times New Roman"/>
          <w:color w:val="000000"/>
          <w:sz w:val="32"/>
          <w:szCs w:val="32"/>
        </w:rPr>
        <w:t xml:space="preserve"> improve monitoring and oversight.</w:t>
      </w:r>
    </w:p>
    <w:p w14:paraId="00000025" w14:textId="77777777" w:rsidR="00DF2656" w:rsidRDefault="00DF2656">
      <w:pPr>
        <w:jc w:val="both"/>
        <w:rPr>
          <w:rFonts w:ascii="Times New Roman" w:eastAsia="Times New Roman" w:hAnsi="Times New Roman" w:cs="Times New Roman"/>
          <w:sz w:val="32"/>
          <w:szCs w:val="32"/>
        </w:rPr>
      </w:pPr>
    </w:p>
    <w:p w14:paraId="00000026" w14:textId="77777777" w:rsidR="00DF2656" w:rsidRDefault="00000000">
      <w:pPr>
        <w:jc w:val="both"/>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2. Disclosures on Gender </w:t>
      </w:r>
    </w:p>
    <w:p w14:paraId="00000027" w14:textId="77777777" w:rsidR="00DF2656" w:rsidRDefault="00DF2656">
      <w:pPr>
        <w:jc w:val="both"/>
        <w:rPr>
          <w:rFonts w:ascii="Times New Roman" w:eastAsia="Times New Roman" w:hAnsi="Times New Roman" w:cs="Times New Roman"/>
          <w:sz w:val="32"/>
          <w:szCs w:val="32"/>
        </w:rPr>
      </w:pPr>
    </w:p>
    <w:p w14:paraId="00000028" w14:textId="711005A8"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CSOs commend the disclosure of gendered employment data of the 14 mining companies sampled which included: FQML Trident, Kagem Mining Limited, </w:t>
      </w:r>
      <w:proofErr w:type="spellStart"/>
      <w:r>
        <w:rPr>
          <w:rFonts w:ascii="Times New Roman" w:eastAsia="Times New Roman" w:hAnsi="Times New Roman" w:cs="Times New Roman"/>
          <w:sz w:val="32"/>
          <w:szCs w:val="32"/>
        </w:rPr>
        <w:t>Lumwana</w:t>
      </w:r>
      <w:proofErr w:type="spellEnd"/>
      <w:r>
        <w:rPr>
          <w:rFonts w:ascii="Times New Roman" w:eastAsia="Times New Roman" w:hAnsi="Times New Roman" w:cs="Times New Roman"/>
          <w:sz w:val="32"/>
          <w:szCs w:val="32"/>
        </w:rPr>
        <w:t xml:space="preserve"> Mining, </w:t>
      </w:r>
      <w:proofErr w:type="spellStart"/>
      <w:r>
        <w:rPr>
          <w:rFonts w:ascii="Times New Roman" w:eastAsia="Times New Roman" w:hAnsi="Times New Roman" w:cs="Times New Roman"/>
          <w:sz w:val="32"/>
          <w:szCs w:val="32"/>
        </w:rPr>
        <w:t>Konkola</w:t>
      </w:r>
      <w:proofErr w:type="spellEnd"/>
      <w:r>
        <w:rPr>
          <w:rFonts w:ascii="Times New Roman" w:eastAsia="Times New Roman" w:hAnsi="Times New Roman" w:cs="Times New Roman"/>
          <w:sz w:val="32"/>
          <w:szCs w:val="32"/>
        </w:rPr>
        <w:t xml:space="preserve"> Copper Mines PLC, and </w:t>
      </w:r>
      <w:proofErr w:type="spellStart"/>
      <w:r>
        <w:rPr>
          <w:rFonts w:ascii="Times New Roman" w:eastAsia="Times New Roman" w:hAnsi="Times New Roman" w:cs="Times New Roman"/>
          <w:sz w:val="32"/>
          <w:szCs w:val="32"/>
        </w:rPr>
        <w:t>Lubambe</w:t>
      </w:r>
      <w:proofErr w:type="spellEnd"/>
      <w:r>
        <w:rPr>
          <w:rFonts w:ascii="Times New Roman" w:eastAsia="Times New Roman" w:hAnsi="Times New Roman" w:cs="Times New Roman"/>
          <w:sz w:val="32"/>
          <w:szCs w:val="32"/>
        </w:rPr>
        <w:t xml:space="preserve"> Copper Mine Limited. Notwithstanding, it was noted that the employment data disclosed by gender was not complete for some mining companies. In some cases, no data was disclosed </w:t>
      </w:r>
      <w:r w:rsidR="00570955">
        <w:rPr>
          <w:rFonts w:ascii="Times New Roman" w:eastAsia="Times New Roman" w:hAnsi="Times New Roman" w:cs="Times New Roman"/>
          <w:sz w:val="32"/>
          <w:szCs w:val="32"/>
        </w:rPr>
        <w:t>by companies</w:t>
      </w:r>
      <w:r>
        <w:rPr>
          <w:rFonts w:ascii="Times New Roman" w:eastAsia="Times New Roman" w:hAnsi="Times New Roman" w:cs="Times New Roman"/>
          <w:sz w:val="32"/>
          <w:szCs w:val="32"/>
        </w:rPr>
        <w:t xml:space="preserve"> namely, NFC Africa Mining PLC and Zambia Consolidated Copper Mines Investment Holdings (ZCCM Investments Holdings). Further, the data disclosed was not disaggregated by hierarchy or position in the company. This limited further analysis of the data disclosed.</w:t>
      </w:r>
    </w:p>
    <w:p w14:paraId="00000029" w14:textId="77777777" w:rsidR="00DF2656" w:rsidRDefault="00DF2656">
      <w:pPr>
        <w:jc w:val="both"/>
        <w:rPr>
          <w:rFonts w:ascii="Times New Roman" w:eastAsia="Times New Roman" w:hAnsi="Times New Roman" w:cs="Times New Roman"/>
          <w:sz w:val="32"/>
          <w:szCs w:val="32"/>
        </w:rPr>
      </w:pPr>
    </w:p>
    <w:p w14:paraId="0000002A" w14:textId="77777777"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Cognizant of the steps made in this regard, we recommend improved reporting specifically for gender data to be disaggregated by hierarchy or positions (entry/managerial) in the case of employment data so that gendered disclosed date is more useful.</w:t>
      </w:r>
    </w:p>
    <w:p w14:paraId="0000002B" w14:textId="77777777" w:rsidR="00DF2656" w:rsidRDefault="00DF2656">
      <w:pPr>
        <w:jc w:val="both"/>
        <w:rPr>
          <w:rFonts w:ascii="Times New Roman" w:eastAsia="Times New Roman" w:hAnsi="Times New Roman" w:cs="Times New Roman"/>
          <w:sz w:val="32"/>
          <w:szCs w:val="32"/>
        </w:rPr>
      </w:pPr>
    </w:p>
    <w:p w14:paraId="0000002C" w14:textId="77777777" w:rsidR="00DF2656" w:rsidRDefault="00000000">
      <w:pPr>
        <w:jc w:val="both"/>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3. Disclosure of Licenses and Contracts</w:t>
      </w:r>
    </w:p>
    <w:p w14:paraId="0000002D" w14:textId="77777777" w:rsidR="00DF2656" w:rsidRDefault="00DF2656">
      <w:pPr>
        <w:jc w:val="both"/>
        <w:rPr>
          <w:rFonts w:ascii="Times New Roman" w:eastAsia="Times New Roman" w:hAnsi="Times New Roman" w:cs="Times New Roman"/>
          <w:sz w:val="32"/>
          <w:szCs w:val="32"/>
        </w:rPr>
      </w:pPr>
    </w:p>
    <w:p w14:paraId="0000002E" w14:textId="77777777"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As CSOs, </w:t>
      </w:r>
      <w:proofErr w:type="gramStart"/>
      <w:r>
        <w:rPr>
          <w:rFonts w:ascii="Times New Roman" w:eastAsia="Times New Roman" w:hAnsi="Times New Roman" w:cs="Times New Roman"/>
          <w:sz w:val="32"/>
          <w:szCs w:val="32"/>
        </w:rPr>
        <w:t>we  noted</w:t>
      </w:r>
      <w:proofErr w:type="gramEnd"/>
      <w:r>
        <w:rPr>
          <w:rFonts w:ascii="Times New Roman" w:eastAsia="Times New Roman" w:hAnsi="Times New Roman" w:cs="Times New Roman"/>
          <w:sz w:val="32"/>
          <w:szCs w:val="32"/>
        </w:rPr>
        <w:t xml:space="preserve"> the increase in active mining licenses from 3570 in 2020 to 4303 in 2021. Markedly, Small Scale Exploration licences increased by 4138% seemingly as a result of formalization efforts of the ASM </w:t>
      </w:r>
      <w:proofErr w:type="gramStart"/>
      <w:r>
        <w:rPr>
          <w:rFonts w:ascii="Times New Roman" w:eastAsia="Times New Roman" w:hAnsi="Times New Roman" w:cs="Times New Roman"/>
          <w:sz w:val="32"/>
          <w:szCs w:val="32"/>
        </w:rPr>
        <w:t>sector .</w:t>
      </w:r>
      <w:proofErr w:type="gramEnd"/>
      <w:r>
        <w:rPr>
          <w:rFonts w:ascii="Times New Roman" w:eastAsia="Times New Roman" w:hAnsi="Times New Roman" w:cs="Times New Roman"/>
          <w:sz w:val="32"/>
          <w:szCs w:val="32"/>
        </w:rPr>
        <w:t xml:space="preserve"> It is also worth mentioning that the report disclosed nine petroleum exploration licenses, with seven reported as active, one under litigation and one pending renewing. The 2021 ZEITI report also shows that the State through ZCCM-IH has ownership rights in three of the active petroleum exploration licenses.</w:t>
      </w:r>
    </w:p>
    <w:p w14:paraId="0000002F" w14:textId="77777777" w:rsidR="00DF2656" w:rsidRDefault="00DF2656">
      <w:pPr>
        <w:jc w:val="both"/>
        <w:rPr>
          <w:rFonts w:ascii="Times New Roman" w:eastAsia="Times New Roman" w:hAnsi="Times New Roman" w:cs="Times New Roman"/>
          <w:sz w:val="32"/>
          <w:szCs w:val="32"/>
        </w:rPr>
      </w:pPr>
    </w:p>
    <w:p w14:paraId="00000030" w14:textId="77A4CD01"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 light of the </w:t>
      </w:r>
      <w:r w:rsidR="00570955">
        <w:rPr>
          <w:rFonts w:ascii="Times New Roman" w:eastAsia="Times New Roman" w:hAnsi="Times New Roman" w:cs="Times New Roman"/>
          <w:sz w:val="32"/>
          <w:szCs w:val="32"/>
        </w:rPr>
        <w:t>disclosed information</w:t>
      </w:r>
      <w:r>
        <w:rPr>
          <w:rFonts w:ascii="Times New Roman" w:eastAsia="Times New Roman" w:hAnsi="Times New Roman" w:cs="Times New Roman"/>
          <w:sz w:val="32"/>
          <w:szCs w:val="32"/>
        </w:rPr>
        <w:t>, the report does not provide annexed detailed list of active mining licenses or mining rights. Also noteworthy is the absence of the letter of deviation from the licensing process considering the corruption allegations in mining license issuance that coincide with the report’s period.</w:t>
      </w:r>
    </w:p>
    <w:p w14:paraId="00000031" w14:textId="77777777" w:rsidR="00DF2656" w:rsidRDefault="00DF2656">
      <w:pPr>
        <w:jc w:val="both"/>
        <w:rPr>
          <w:rFonts w:ascii="Times New Roman" w:eastAsia="Times New Roman" w:hAnsi="Times New Roman" w:cs="Times New Roman"/>
          <w:sz w:val="32"/>
          <w:szCs w:val="32"/>
        </w:rPr>
      </w:pPr>
    </w:p>
    <w:p w14:paraId="00000032" w14:textId="76E133BC"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We, therefore, propose that the MMMD makes </w:t>
      </w:r>
      <w:r w:rsidR="00570955">
        <w:rPr>
          <w:rFonts w:ascii="Times New Roman" w:eastAsia="Times New Roman" w:hAnsi="Times New Roman" w:cs="Times New Roman"/>
          <w:sz w:val="32"/>
          <w:szCs w:val="32"/>
        </w:rPr>
        <w:t>strides in</w:t>
      </w:r>
      <w:r>
        <w:rPr>
          <w:rFonts w:ascii="Times New Roman" w:eastAsia="Times New Roman" w:hAnsi="Times New Roman" w:cs="Times New Roman"/>
          <w:sz w:val="32"/>
          <w:szCs w:val="32"/>
        </w:rPr>
        <w:t xml:space="preserve"> ensuring systematic disclosure of information on licenses including updating the </w:t>
      </w:r>
      <w:r w:rsidR="00570955">
        <w:rPr>
          <w:rFonts w:ascii="Times New Roman" w:eastAsia="Times New Roman" w:hAnsi="Times New Roman" w:cs="Times New Roman"/>
          <w:sz w:val="32"/>
          <w:szCs w:val="32"/>
        </w:rPr>
        <w:t>online Mining</w:t>
      </w:r>
      <w:r>
        <w:rPr>
          <w:rFonts w:ascii="Times New Roman" w:eastAsia="Times New Roman" w:hAnsi="Times New Roman" w:cs="Times New Roman"/>
          <w:sz w:val="32"/>
          <w:szCs w:val="32"/>
        </w:rPr>
        <w:t xml:space="preserve"> Cadastre Portal to ensure that it is more user friendly to the public. Further, as the </w:t>
      </w:r>
      <w:r w:rsidR="00570955">
        <w:rPr>
          <w:rFonts w:ascii="Times New Roman" w:eastAsia="Times New Roman" w:hAnsi="Times New Roman" w:cs="Times New Roman"/>
          <w:sz w:val="32"/>
          <w:szCs w:val="32"/>
        </w:rPr>
        <w:t>MMMD progresses</w:t>
      </w:r>
      <w:r>
        <w:rPr>
          <w:rFonts w:ascii="Times New Roman" w:eastAsia="Times New Roman" w:hAnsi="Times New Roman" w:cs="Times New Roman"/>
          <w:sz w:val="32"/>
          <w:szCs w:val="32"/>
        </w:rPr>
        <w:t xml:space="preserve"> towards systematic disclosures, ZEITI should provide comprehensive annexes for license disclosures as was done in previous reports such as the 2019 report.</w:t>
      </w:r>
    </w:p>
    <w:p w14:paraId="00000033" w14:textId="77777777" w:rsidR="00DF2656" w:rsidRDefault="00DF2656">
      <w:pPr>
        <w:jc w:val="both"/>
        <w:rPr>
          <w:rFonts w:ascii="Times New Roman" w:eastAsia="Times New Roman" w:hAnsi="Times New Roman" w:cs="Times New Roman"/>
          <w:sz w:val="32"/>
          <w:szCs w:val="32"/>
        </w:rPr>
      </w:pPr>
    </w:p>
    <w:p w14:paraId="00000034" w14:textId="77777777" w:rsidR="00DF2656" w:rsidRDefault="00000000">
      <w:pPr>
        <w:jc w:val="both"/>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4. Disclosure of Beneficial Ownership Information</w:t>
      </w:r>
    </w:p>
    <w:p w14:paraId="00000035" w14:textId="77777777" w:rsidR="00DF2656" w:rsidRDefault="00DF2656">
      <w:pPr>
        <w:jc w:val="both"/>
        <w:rPr>
          <w:rFonts w:ascii="Times New Roman" w:eastAsia="Times New Roman" w:hAnsi="Times New Roman" w:cs="Times New Roman"/>
          <w:sz w:val="32"/>
          <w:szCs w:val="32"/>
        </w:rPr>
      </w:pPr>
    </w:p>
    <w:p w14:paraId="00000036" w14:textId="77777777"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CSOs acknowledge the progress made specifically by the Patents and Companies Registration Agency (PACRA) in the implementation of beneficial ownership reforms which are well highlighted in the report. However, the report does not disclose beneficial ownership information for the sampled mining companies, as was done in previous reports – specifically the 2019 report. Further, we are of the view that the report would be more useful if compliance of beneficial ownership disclosures by mining companies to PACRA could be reported by license type to assess general compliance levels of the sector against the prevailing EITI standard.</w:t>
      </w:r>
    </w:p>
    <w:p w14:paraId="00000037" w14:textId="77777777" w:rsidR="00DF2656" w:rsidRDefault="00DF2656">
      <w:pPr>
        <w:jc w:val="both"/>
        <w:rPr>
          <w:rFonts w:ascii="Times New Roman" w:eastAsia="Times New Roman" w:hAnsi="Times New Roman" w:cs="Times New Roman"/>
          <w:sz w:val="32"/>
          <w:szCs w:val="32"/>
        </w:rPr>
      </w:pPr>
    </w:p>
    <w:p w14:paraId="00000038" w14:textId="77777777" w:rsidR="00DF2656" w:rsidRDefault="00000000">
      <w:pPr>
        <w:pBdr>
          <w:top w:val="nil"/>
          <w:left w:val="nil"/>
          <w:bottom w:val="nil"/>
          <w:right w:val="nil"/>
          <w:between w:val="nil"/>
        </w:pBdr>
        <w:jc w:val="both"/>
        <w:rPr>
          <w:rFonts w:ascii="Times New Roman" w:eastAsia="Times New Roman" w:hAnsi="Times New Roman" w:cs="Times New Roman"/>
          <w:color w:val="000000"/>
          <w:sz w:val="32"/>
          <w:szCs w:val="32"/>
        </w:rPr>
      </w:pPr>
      <w:r>
        <w:rPr>
          <w:rFonts w:ascii="Times New Roman" w:eastAsia="Times New Roman" w:hAnsi="Times New Roman" w:cs="Times New Roman"/>
          <w:sz w:val="32"/>
          <w:szCs w:val="32"/>
        </w:rPr>
        <w:lastRenderedPageBreak/>
        <w:t xml:space="preserve">We therefore recommend that </w:t>
      </w:r>
      <w:r>
        <w:rPr>
          <w:rFonts w:ascii="Times New Roman" w:eastAsia="Times New Roman" w:hAnsi="Times New Roman" w:cs="Times New Roman"/>
          <w:color w:val="000000"/>
          <w:sz w:val="32"/>
          <w:szCs w:val="32"/>
        </w:rPr>
        <w:t xml:space="preserve">ZEITI </w:t>
      </w:r>
      <w:r>
        <w:rPr>
          <w:rFonts w:ascii="Times New Roman" w:eastAsia="Times New Roman" w:hAnsi="Times New Roman" w:cs="Times New Roman"/>
          <w:sz w:val="32"/>
          <w:szCs w:val="32"/>
        </w:rPr>
        <w:t>and</w:t>
      </w:r>
      <w:r>
        <w:rPr>
          <w:rFonts w:ascii="Times New Roman" w:eastAsia="Times New Roman" w:hAnsi="Times New Roman" w:cs="Times New Roman"/>
          <w:color w:val="000000"/>
          <w:sz w:val="32"/>
          <w:szCs w:val="32"/>
        </w:rPr>
        <w:t xml:space="preserve"> the Zambia E</w:t>
      </w:r>
      <w:r>
        <w:rPr>
          <w:rFonts w:ascii="Times New Roman" w:eastAsia="Times New Roman" w:hAnsi="Times New Roman" w:cs="Times New Roman"/>
          <w:sz w:val="32"/>
          <w:szCs w:val="32"/>
        </w:rPr>
        <w:t xml:space="preserve">ITI </w:t>
      </w:r>
      <w:r>
        <w:rPr>
          <w:rFonts w:ascii="Times New Roman" w:eastAsia="Times New Roman" w:hAnsi="Times New Roman" w:cs="Times New Roman"/>
          <w:color w:val="000000"/>
          <w:sz w:val="32"/>
          <w:szCs w:val="32"/>
        </w:rPr>
        <w:t>Council (ZEC) pursue a Memorandum of Understanding (MoU) with PACRA for the purposes of accessing beneficial ownership information at no charge for EITI reporting purposes. This collaboration will streamline the process and facilitate the provision of accurate and up-to-date information.</w:t>
      </w:r>
    </w:p>
    <w:p w14:paraId="00000039" w14:textId="77777777" w:rsidR="00DF2656" w:rsidRDefault="00DF2656">
      <w:pPr>
        <w:pBdr>
          <w:top w:val="nil"/>
          <w:left w:val="nil"/>
          <w:bottom w:val="nil"/>
          <w:right w:val="nil"/>
          <w:between w:val="nil"/>
        </w:pBdr>
        <w:jc w:val="both"/>
        <w:rPr>
          <w:rFonts w:ascii="Times New Roman" w:eastAsia="Times New Roman" w:hAnsi="Times New Roman" w:cs="Times New Roman"/>
          <w:color w:val="000000"/>
          <w:sz w:val="32"/>
          <w:szCs w:val="32"/>
        </w:rPr>
      </w:pPr>
    </w:p>
    <w:p w14:paraId="0000003A" w14:textId="77777777" w:rsidR="00DF2656" w:rsidRDefault="00000000">
      <w:pPr>
        <w:pBdr>
          <w:top w:val="nil"/>
          <w:left w:val="nil"/>
          <w:bottom w:val="nil"/>
          <w:right w:val="nil"/>
          <w:between w:val="nil"/>
        </w:pBdr>
        <w:jc w:val="both"/>
        <w:rPr>
          <w:rFonts w:ascii="Times New Roman" w:eastAsia="Times New Roman" w:hAnsi="Times New Roman" w:cs="Times New Roman"/>
          <w:b/>
          <w:i/>
          <w:color w:val="000000"/>
          <w:sz w:val="32"/>
          <w:szCs w:val="32"/>
        </w:rPr>
      </w:pPr>
      <w:r>
        <w:rPr>
          <w:rFonts w:ascii="Times New Roman" w:eastAsia="Times New Roman" w:hAnsi="Times New Roman" w:cs="Times New Roman"/>
          <w:b/>
          <w:i/>
          <w:sz w:val="32"/>
          <w:szCs w:val="32"/>
        </w:rPr>
        <w:t xml:space="preserve">5. </w:t>
      </w:r>
      <w:r>
        <w:rPr>
          <w:rFonts w:ascii="Times New Roman" w:eastAsia="Times New Roman" w:hAnsi="Times New Roman" w:cs="Times New Roman"/>
          <w:b/>
          <w:i/>
          <w:color w:val="000000"/>
          <w:sz w:val="32"/>
          <w:szCs w:val="32"/>
        </w:rPr>
        <w:t>Disclosures on State Participation</w:t>
      </w:r>
    </w:p>
    <w:p w14:paraId="0000003B" w14:textId="77777777" w:rsidR="00DF2656" w:rsidRDefault="00DF2656">
      <w:pPr>
        <w:pBdr>
          <w:top w:val="nil"/>
          <w:left w:val="nil"/>
          <w:bottom w:val="nil"/>
          <w:right w:val="nil"/>
          <w:between w:val="nil"/>
        </w:pBdr>
        <w:jc w:val="both"/>
        <w:rPr>
          <w:rFonts w:ascii="Times New Roman" w:eastAsia="Times New Roman" w:hAnsi="Times New Roman" w:cs="Times New Roman"/>
          <w:color w:val="000000"/>
          <w:sz w:val="32"/>
          <w:szCs w:val="32"/>
        </w:rPr>
      </w:pPr>
    </w:p>
    <w:p w14:paraId="0000003C" w14:textId="77777777"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Acknowledging the significance of the State’s participation in the sector in Zambia; the report provides valuable information on the current legal framework related to State Participation in Zambia, particularly through ZCCM-IH. It outlines ZCCM-IH's shareholding in mining and oil companies, indicating ownership in 23 such entities. The report also highlights significant developments, including the acquisition of a shareholding in Mopani Copper Mines, the </w:t>
      </w:r>
      <w:proofErr w:type="spellStart"/>
      <w:r>
        <w:rPr>
          <w:rFonts w:ascii="Times New Roman" w:eastAsia="Times New Roman" w:hAnsi="Times New Roman" w:cs="Times New Roman"/>
          <w:sz w:val="32"/>
          <w:szCs w:val="32"/>
        </w:rPr>
        <w:t>Konkola</w:t>
      </w:r>
      <w:proofErr w:type="spellEnd"/>
      <w:r>
        <w:rPr>
          <w:rFonts w:ascii="Times New Roman" w:eastAsia="Times New Roman" w:hAnsi="Times New Roman" w:cs="Times New Roman"/>
          <w:sz w:val="32"/>
          <w:szCs w:val="32"/>
        </w:rPr>
        <w:t xml:space="preserve"> Copper Mine Trafigura transaction, the Royalty agreement with Kansanshi Mining, and intergovernmental agreements with the Democratic Republic of Congo (DRC) and the USA concerning cobalt production and value addition.</w:t>
      </w:r>
    </w:p>
    <w:p w14:paraId="0000003D" w14:textId="77777777" w:rsidR="00DF2656" w:rsidRDefault="00DF2656">
      <w:pPr>
        <w:jc w:val="both"/>
        <w:rPr>
          <w:rFonts w:ascii="Times New Roman" w:eastAsia="Times New Roman" w:hAnsi="Times New Roman" w:cs="Times New Roman"/>
          <w:sz w:val="32"/>
          <w:szCs w:val="32"/>
        </w:rPr>
      </w:pPr>
    </w:p>
    <w:p w14:paraId="0000003E" w14:textId="77777777"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However, we, CSOs note that ZCCM-IH has not disclosed its audited financial statements for the year ended 2021, while no annual reports for 2020 and 2021 have been published. It is important to consider critical contextual factors surrounding State Participation. These include the need for transparency, accountability, and sound management practices in state-owned entities like ZCCM-IH. Given that the success of state participation is closely linked to effective corporate governance, particularly in the case of ZCCM-IH, which has faced challenges in managing assets, such as its gold investments in the Zambia Gold Company. It is also worth mentioning that ZCCM-IH's suspension from the London Stock Exchange and </w:t>
      </w:r>
      <w:proofErr w:type="spellStart"/>
      <w:r>
        <w:rPr>
          <w:rFonts w:ascii="Times New Roman" w:eastAsia="Times New Roman" w:hAnsi="Times New Roman" w:cs="Times New Roman"/>
          <w:sz w:val="32"/>
          <w:szCs w:val="32"/>
        </w:rPr>
        <w:t>EuroNex</w:t>
      </w:r>
      <w:proofErr w:type="spellEnd"/>
      <w:r>
        <w:rPr>
          <w:rFonts w:ascii="Times New Roman" w:eastAsia="Times New Roman" w:hAnsi="Times New Roman" w:cs="Times New Roman"/>
          <w:sz w:val="32"/>
          <w:szCs w:val="32"/>
        </w:rPr>
        <w:t xml:space="preserve"> in 2023 has impacted its operations and perceptions about its corporate governance.</w:t>
      </w:r>
    </w:p>
    <w:p w14:paraId="0000003F" w14:textId="77777777" w:rsidR="00DF2656" w:rsidRDefault="00DF2656">
      <w:pPr>
        <w:jc w:val="both"/>
        <w:rPr>
          <w:rFonts w:ascii="Times New Roman" w:eastAsia="Times New Roman" w:hAnsi="Times New Roman" w:cs="Times New Roman"/>
          <w:sz w:val="32"/>
          <w:szCs w:val="32"/>
        </w:rPr>
      </w:pPr>
    </w:p>
    <w:p w14:paraId="00000040" w14:textId="77777777"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 this regard addressing the gaps in ZCCM-IH’s financial disclosure and publishing annual reports is essential for enhancing transparency and fostering confidence in state participation initiatives. Additionally, </w:t>
      </w:r>
      <w:r>
        <w:rPr>
          <w:rFonts w:ascii="Times New Roman" w:eastAsia="Times New Roman" w:hAnsi="Times New Roman" w:cs="Times New Roman"/>
          <w:sz w:val="32"/>
          <w:szCs w:val="32"/>
        </w:rPr>
        <w:lastRenderedPageBreak/>
        <w:t>strengthening corporate governance practices within ZCCM-IH is crucial to effectively manage assets and maximize the benefits of state participation in the mining and oil sectors. Measures should be taken to address the reasons behind ZCCM-IH's suspension from the stock exchanges and ensure compliance with regulatory requirements.</w:t>
      </w:r>
    </w:p>
    <w:p w14:paraId="00000041" w14:textId="77777777" w:rsidR="00DF2656" w:rsidRDefault="00DF2656">
      <w:pPr>
        <w:jc w:val="both"/>
        <w:rPr>
          <w:rFonts w:ascii="Times New Roman" w:eastAsia="Times New Roman" w:hAnsi="Times New Roman" w:cs="Times New Roman"/>
          <w:sz w:val="32"/>
          <w:szCs w:val="32"/>
        </w:rPr>
      </w:pPr>
    </w:p>
    <w:p w14:paraId="00000042" w14:textId="77777777" w:rsidR="00DF2656" w:rsidRDefault="00000000">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As CSO’s We strongly recommend: </w:t>
      </w:r>
    </w:p>
    <w:p w14:paraId="00000043" w14:textId="77777777" w:rsidR="00DF2656" w:rsidRDefault="00DF2656">
      <w:pPr>
        <w:jc w:val="both"/>
        <w:rPr>
          <w:rFonts w:ascii="Times New Roman" w:eastAsia="Times New Roman" w:hAnsi="Times New Roman" w:cs="Times New Roman"/>
          <w:sz w:val="32"/>
          <w:szCs w:val="32"/>
        </w:rPr>
      </w:pPr>
    </w:p>
    <w:p w14:paraId="00000044" w14:textId="77777777" w:rsidR="00DF2656"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ZEITI should continue reporting comprehensively on State participation in the extractive industries, considering the pronouncements and policies aimed at increasing State involvement. This will provide valuable insights and promote transparency in this crucial area relating to state participation.</w:t>
      </w:r>
    </w:p>
    <w:p w14:paraId="00000045" w14:textId="77777777" w:rsidR="00DF2656" w:rsidRDefault="00000000">
      <w:pPr>
        <w:numPr>
          <w:ilvl w:val="0"/>
          <w:numId w:val="1"/>
        </w:numPr>
        <w:pBdr>
          <w:top w:val="nil"/>
          <w:left w:val="nil"/>
          <w:bottom w:val="nil"/>
          <w:right w:val="nil"/>
          <w:between w:val="nil"/>
        </w:pBdr>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ZCCM-IH should prioritize the publication of annual reports for the years 2020 and 2021. These reports are essential for providing stakeholders with updated and comprehensive information on the activities, financial performance, and governance of ZCCM-IH.</w:t>
      </w:r>
    </w:p>
    <w:p w14:paraId="00000046" w14:textId="77777777" w:rsidR="00DF2656" w:rsidRDefault="00DF2656">
      <w:pPr>
        <w:pBdr>
          <w:top w:val="nil"/>
          <w:left w:val="nil"/>
          <w:bottom w:val="nil"/>
          <w:right w:val="nil"/>
          <w:between w:val="nil"/>
        </w:pBdr>
        <w:jc w:val="both"/>
        <w:rPr>
          <w:rFonts w:ascii="Times New Roman" w:eastAsia="Times New Roman" w:hAnsi="Times New Roman" w:cs="Times New Roman"/>
          <w:color w:val="000000"/>
          <w:sz w:val="32"/>
          <w:szCs w:val="32"/>
        </w:rPr>
      </w:pPr>
    </w:p>
    <w:p w14:paraId="00000047" w14:textId="77777777" w:rsidR="00DF2656" w:rsidRDefault="00000000">
      <w:pPr>
        <w:pBdr>
          <w:top w:val="nil"/>
          <w:left w:val="nil"/>
          <w:bottom w:val="nil"/>
          <w:right w:val="nil"/>
          <w:between w:val="nil"/>
        </w:pBdr>
        <w:jc w:val="both"/>
        <w:rPr>
          <w:rFonts w:ascii="Times New Roman" w:eastAsia="Times New Roman" w:hAnsi="Times New Roman" w:cs="Times New Roman"/>
          <w:b/>
          <w:i/>
          <w:color w:val="000000"/>
          <w:sz w:val="32"/>
          <w:szCs w:val="32"/>
        </w:rPr>
      </w:pPr>
      <w:r>
        <w:rPr>
          <w:rFonts w:ascii="Times New Roman" w:eastAsia="Times New Roman" w:hAnsi="Times New Roman" w:cs="Times New Roman"/>
          <w:b/>
          <w:i/>
          <w:sz w:val="32"/>
          <w:szCs w:val="32"/>
        </w:rPr>
        <w:t xml:space="preserve">6. </w:t>
      </w:r>
      <w:r>
        <w:rPr>
          <w:rFonts w:ascii="Times New Roman" w:eastAsia="Times New Roman" w:hAnsi="Times New Roman" w:cs="Times New Roman"/>
          <w:b/>
          <w:i/>
          <w:color w:val="000000"/>
          <w:sz w:val="32"/>
          <w:szCs w:val="32"/>
        </w:rPr>
        <w:t>Disclosures of Social Payments and Investments</w:t>
      </w:r>
    </w:p>
    <w:p w14:paraId="00000048" w14:textId="77777777" w:rsidR="00DF2656" w:rsidRDefault="00000000">
      <w:pPr>
        <w:spacing w:before="280" w:after="280"/>
        <w:jc w:val="both"/>
        <w:rPr>
          <w:rFonts w:ascii="Times New Roman" w:eastAsia="Times New Roman" w:hAnsi="Times New Roman" w:cs="Times New Roman"/>
          <w:sz w:val="32"/>
          <w:szCs w:val="32"/>
        </w:rPr>
      </w:pPr>
      <w:r>
        <w:rPr>
          <w:rFonts w:ascii="Times New Roman" w:eastAsia="Times New Roman" w:hAnsi="Times New Roman" w:cs="Times New Roman"/>
          <w:color w:val="000000"/>
          <w:sz w:val="32"/>
          <w:szCs w:val="32"/>
        </w:rPr>
        <w:t xml:space="preserve">There are </w:t>
      </w:r>
      <w:r>
        <w:rPr>
          <w:rFonts w:ascii="Times New Roman" w:eastAsia="Times New Roman" w:hAnsi="Times New Roman" w:cs="Times New Roman"/>
          <w:sz w:val="32"/>
          <w:szCs w:val="32"/>
        </w:rPr>
        <w:t>currently no legal or contractual provisions for mandatory social payments in Zambia. However, voluntary social payments were included in the 2021 EITI scope through unilateral disclosure by mining companies. In this regard, there was an observably drastic reduction in social payments between 2020 and 2021 with firms such as Kalumbila, Kagem, and ZCCM-IH reporting to have not made any payments in the reporting period.</w:t>
      </w:r>
    </w:p>
    <w:p w14:paraId="00000049" w14:textId="77777777" w:rsidR="00DF2656" w:rsidRDefault="00000000">
      <w:pPr>
        <w:pBdr>
          <w:top w:val="nil"/>
          <w:left w:val="nil"/>
          <w:bottom w:val="nil"/>
          <w:right w:val="nil"/>
          <w:between w:val="nil"/>
        </w:pBdr>
        <w:spacing w:before="280"/>
        <w:jc w:val="both"/>
        <w:rPr>
          <w:rFonts w:ascii="Times New Roman" w:eastAsia="Times New Roman" w:hAnsi="Times New Roman" w:cs="Times New Roman"/>
          <w:color w:val="000000"/>
          <w:sz w:val="32"/>
          <w:szCs w:val="32"/>
        </w:rPr>
      </w:pPr>
      <w:r>
        <w:rPr>
          <w:rFonts w:ascii="Times New Roman" w:eastAsia="Times New Roman" w:hAnsi="Times New Roman" w:cs="Times New Roman"/>
          <w:sz w:val="32"/>
          <w:szCs w:val="32"/>
        </w:rPr>
        <w:t xml:space="preserve">Acknowledging that </w:t>
      </w:r>
      <w:r>
        <w:rPr>
          <w:rFonts w:ascii="Times New Roman" w:eastAsia="Times New Roman" w:hAnsi="Times New Roman" w:cs="Times New Roman"/>
          <w:color w:val="000000"/>
          <w:sz w:val="32"/>
          <w:szCs w:val="32"/>
        </w:rPr>
        <w:t xml:space="preserve">Social Payments in the mining sector have provided communities with benefits through both in-kind and cash payments as part of corporate social responsibility (CSR) initiatives. </w:t>
      </w:r>
      <w:r>
        <w:rPr>
          <w:rFonts w:ascii="Times New Roman" w:eastAsia="Times New Roman" w:hAnsi="Times New Roman" w:cs="Times New Roman"/>
          <w:sz w:val="32"/>
          <w:szCs w:val="32"/>
        </w:rPr>
        <w:t>We recommend</w:t>
      </w:r>
      <w:r>
        <w:rPr>
          <w:rFonts w:ascii="Times New Roman" w:eastAsia="Times New Roman" w:hAnsi="Times New Roman" w:cs="Times New Roman"/>
          <w:color w:val="000000"/>
          <w:sz w:val="32"/>
          <w:szCs w:val="32"/>
        </w:rPr>
        <w:t xml:space="preserve"> the review of policies and legislation to effectively ensure mining companies invest in strategic areas of communities hosting mining projects. This would be significant in ensuring communities receive some compensation for the extraction activities taking place in their areas. Additionally, </w:t>
      </w:r>
      <w:proofErr w:type="gramStart"/>
      <w:r>
        <w:rPr>
          <w:rFonts w:ascii="Times New Roman" w:eastAsia="Times New Roman" w:hAnsi="Times New Roman" w:cs="Times New Roman"/>
          <w:color w:val="000000"/>
          <w:sz w:val="32"/>
          <w:szCs w:val="32"/>
        </w:rPr>
        <w:t>We</w:t>
      </w:r>
      <w:proofErr w:type="gramEnd"/>
      <w:r>
        <w:rPr>
          <w:rFonts w:ascii="Times New Roman" w:eastAsia="Times New Roman" w:hAnsi="Times New Roman" w:cs="Times New Roman"/>
          <w:color w:val="000000"/>
          <w:sz w:val="32"/>
          <w:szCs w:val="32"/>
        </w:rPr>
        <w:t xml:space="preserve"> recommend that social investment plans be aligned with district Integrated Development Plans </w:t>
      </w:r>
      <w:r>
        <w:rPr>
          <w:rFonts w:ascii="Times New Roman" w:eastAsia="Times New Roman" w:hAnsi="Times New Roman" w:cs="Times New Roman"/>
          <w:color w:val="000000"/>
          <w:sz w:val="32"/>
          <w:szCs w:val="32"/>
        </w:rPr>
        <w:lastRenderedPageBreak/>
        <w:t>(IDPs) to ensure that these investments significantly contribute to sustainable development.</w:t>
      </w:r>
    </w:p>
    <w:p w14:paraId="0000004A" w14:textId="77777777" w:rsidR="00DF2656" w:rsidRDefault="00000000">
      <w:pPr>
        <w:pBdr>
          <w:top w:val="nil"/>
          <w:left w:val="nil"/>
          <w:bottom w:val="nil"/>
          <w:right w:val="nil"/>
          <w:between w:val="nil"/>
        </w:pBdr>
        <w:spacing w:before="280"/>
        <w:jc w:val="both"/>
        <w:rPr>
          <w:rFonts w:ascii="Times New Roman" w:eastAsia="Times New Roman" w:hAnsi="Times New Roman" w:cs="Times New Roman"/>
          <w:b/>
          <w:i/>
          <w:color w:val="000000"/>
          <w:sz w:val="32"/>
          <w:szCs w:val="32"/>
        </w:rPr>
      </w:pPr>
      <w:r>
        <w:rPr>
          <w:rFonts w:ascii="Times New Roman" w:eastAsia="Times New Roman" w:hAnsi="Times New Roman" w:cs="Times New Roman"/>
          <w:b/>
          <w:i/>
          <w:color w:val="000000"/>
          <w:sz w:val="32"/>
          <w:szCs w:val="32"/>
        </w:rPr>
        <w:t>Disclosures on the Environmental Protection Fund</w:t>
      </w:r>
    </w:p>
    <w:p w14:paraId="0000004B" w14:textId="77777777" w:rsidR="00DF2656" w:rsidRDefault="00000000">
      <w:pPr>
        <w:spacing w:before="280" w:after="28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In consideration that contributions to the Environmental protection Fund (EPF) are reliant on environmental audits conducted on mining firms to determine environmental liability caused by mining activities at each mine and enforced by the Director of Mine Safety. The 2021 ZEITI discloses that payments to the Environmental Protection Fund (EPF) by mining companies amounted to ZMW 0.3 million in 2021. However, this signifies a reduction to payments to the EPF from ZMK 51 million in 2020 to ZMK 0.3 million in 2021. In the absence of reason for the substantial decline; the reduction raises questions about whether all companies have made their required payments to the fund or if payments reflect environmental costs as per audits.</w:t>
      </w:r>
    </w:p>
    <w:p w14:paraId="0000004C" w14:textId="3C544467" w:rsidR="00DF2656" w:rsidRDefault="00000000">
      <w:pPr>
        <w:spacing w:before="280" w:after="280"/>
        <w:jc w:val="both"/>
        <w:rPr>
          <w:rFonts w:ascii="Times New Roman" w:eastAsia="Times New Roman" w:hAnsi="Times New Roman" w:cs="Times New Roman"/>
          <w:color w:val="000000"/>
          <w:sz w:val="32"/>
          <w:szCs w:val="32"/>
        </w:rPr>
      </w:pPr>
      <w:r>
        <w:rPr>
          <w:rFonts w:ascii="Times New Roman" w:eastAsia="Times New Roman" w:hAnsi="Times New Roman" w:cs="Times New Roman"/>
          <w:sz w:val="32"/>
          <w:szCs w:val="32"/>
        </w:rPr>
        <w:t xml:space="preserve">Therefore, to strengthen disclosure in this regard, </w:t>
      </w:r>
      <w:proofErr w:type="gramStart"/>
      <w:r>
        <w:rPr>
          <w:rFonts w:ascii="Times New Roman" w:eastAsia="Times New Roman" w:hAnsi="Times New Roman" w:cs="Times New Roman"/>
          <w:sz w:val="32"/>
          <w:szCs w:val="32"/>
        </w:rPr>
        <w:t>We</w:t>
      </w:r>
      <w:proofErr w:type="gramEnd"/>
      <w:r>
        <w:rPr>
          <w:rFonts w:ascii="Times New Roman" w:eastAsia="Times New Roman" w:hAnsi="Times New Roman" w:cs="Times New Roman"/>
          <w:sz w:val="32"/>
          <w:szCs w:val="32"/>
        </w:rPr>
        <w:t xml:space="preserve"> recommend that </w:t>
      </w:r>
      <w:r>
        <w:rPr>
          <w:rFonts w:ascii="Times New Roman" w:eastAsia="Times New Roman" w:hAnsi="Times New Roman" w:cs="Times New Roman"/>
          <w:color w:val="000000"/>
          <w:sz w:val="32"/>
          <w:szCs w:val="32"/>
        </w:rPr>
        <w:t xml:space="preserve">key information, such as the funds held in the EPF account, interest gained on the funds, expenses made using the fund, and details of companies in default of payment, should also be disclosed. These </w:t>
      </w:r>
      <w:r w:rsidR="00570955">
        <w:rPr>
          <w:rFonts w:ascii="Times New Roman" w:eastAsia="Times New Roman" w:hAnsi="Times New Roman" w:cs="Times New Roman"/>
          <w:color w:val="000000"/>
          <w:sz w:val="32"/>
          <w:szCs w:val="32"/>
        </w:rPr>
        <w:t>disclosures will</w:t>
      </w:r>
      <w:r>
        <w:rPr>
          <w:rFonts w:ascii="Times New Roman" w:eastAsia="Times New Roman" w:hAnsi="Times New Roman" w:cs="Times New Roman"/>
          <w:color w:val="000000"/>
          <w:sz w:val="32"/>
          <w:szCs w:val="32"/>
        </w:rPr>
        <w:t xml:space="preserve"> align with the requirements of the new 2023 EITI Standard regarding environmental expenditure reporting.</w:t>
      </w:r>
    </w:p>
    <w:p w14:paraId="0000004D" w14:textId="77777777" w:rsidR="00DF2656" w:rsidRDefault="00000000">
      <w:pPr>
        <w:spacing w:before="280" w:after="28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In conclusion, CSOs acknowledge the efforts being made by government and other actors including through the EITI to enhance governance in the sector. We posit that the 2021 EITI report provides valuable contributions to the ongoing efforts to </w:t>
      </w:r>
      <w:r>
        <w:rPr>
          <w:rFonts w:ascii="Times New Roman" w:eastAsia="Times New Roman" w:hAnsi="Times New Roman" w:cs="Times New Roman"/>
          <w:sz w:val="32"/>
          <w:szCs w:val="32"/>
        </w:rPr>
        <w:t>engender</w:t>
      </w:r>
      <w:r>
        <w:rPr>
          <w:rFonts w:ascii="Times New Roman" w:eastAsia="Times New Roman" w:hAnsi="Times New Roman" w:cs="Times New Roman"/>
          <w:color w:val="000000"/>
          <w:sz w:val="32"/>
          <w:szCs w:val="32"/>
        </w:rPr>
        <w:t xml:space="preserve"> transparency and accountability in the sector. With these observations</w:t>
      </w:r>
      <w:r>
        <w:rPr>
          <w:rFonts w:ascii="Times New Roman" w:eastAsia="Times New Roman" w:hAnsi="Times New Roman" w:cs="Times New Roman"/>
          <w:sz w:val="32"/>
          <w:szCs w:val="32"/>
        </w:rPr>
        <w:t xml:space="preserve"> </w:t>
      </w:r>
      <w:r>
        <w:rPr>
          <w:rFonts w:ascii="Times New Roman" w:eastAsia="Times New Roman" w:hAnsi="Times New Roman" w:cs="Times New Roman"/>
          <w:color w:val="000000"/>
          <w:sz w:val="32"/>
          <w:szCs w:val="32"/>
        </w:rPr>
        <w:t>and recommendations, it is our desired intention that measures, and progress continues to be made in improving the governance of the extractive sector in Zambia.</w:t>
      </w:r>
    </w:p>
    <w:p w14:paraId="0000004E" w14:textId="77777777" w:rsidR="00DF2656" w:rsidRDefault="00DF2656">
      <w:pPr>
        <w:spacing w:before="280" w:after="280"/>
        <w:jc w:val="both"/>
        <w:rPr>
          <w:rFonts w:ascii="Times New Roman" w:eastAsia="Times New Roman" w:hAnsi="Times New Roman" w:cs="Times New Roman"/>
          <w:color w:val="000000"/>
          <w:sz w:val="32"/>
          <w:szCs w:val="32"/>
        </w:rPr>
      </w:pPr>
    </w:p>
    <w:p w14:paraId="74B04A93" w14:textId="77777777" w:rsidR="00710570" w:rsidRDefault="00710570">
      <w:pPr>
        <w:spacing w:before="280" w:after="280"/>
        <w:jc w:val="both"/>
        <w:rPr>
          <w:rFonts w:ascii="Times New Roman" w:eastAsia="Times New Roman" w:hAnsi="Times New Roman" w:cs="Times New Roman"/>
          <w:color w:val="000000"/>
          <w:sz w:val="32"/>
          <w:szCs w:val="32"/>
        </w:rPr>
      </w:pPr>
    </w:p>
    <w:p w14:paraId="00000051" w14:textId="2A29F1B3" w:rsidR="00DF2656" w:rsidRDefault="00000000">
      <w:pPr>
        <w:spacing w:before="280" w:after="28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National Coordinator, Publish What You Pay Zambia</w:t>
      </w:r>
    </w:p>
    <w:p w14:paraId="00000052" w14:textId="77777777" w:rsidR="00DF2656" w:rsidRDefault="00DF2656">
      <w:pPr>
        <w:spacing w:before="280" w:after="280"/>
        <w:jc w:val="both"/>
        <w:rPr>
          <w:rFonts w:ascii="Times New Roman" w:eastAsia="Times New Roman" w:hAnsi="Times New Roman" w:cs="Times New Roman"/>
          <w:color w:val="000000"/>
          <w:sz w:val="32"/>
          <w:szCs w:val="32"/>
        </w:rPr>
      </w:pPr>
    </w:p>
    <w:p w14:paraId="00000053" w14:textId="77777777" w:rsidR="00DF2656" w:rsidRDefault="00000000">
      <w:pPr>
        <w:spacing w:before="280" w:after="28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Signed for and on behalf of the undersigned CSOs:</w:t>
      </w:r>
    </w:p>
    <w:p w14:paraId="00000054" w14:textId="77777777" w:rsidR="00DF2656" w:rsidRDefault="00000000">
      <w:pPr>
        <w:spacing w:before="280" w:after="28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ActionAid Zambia</w:t>
      </w:r>
    </w:p>
    <w:p w14:paraId="00000055" w14:textId="77777777" w:rsidR="00DF2656" w:rsidRDefault="00000000">
      <w:pPr>
        <w:spacing w:before="280" w:after="28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Caritas Zambia</w:t>
      </w:r>
    </w:p>
    <w:p w14:paraId="00000056" w14:textId="77777777" w:rsidR="00DF2656" w:rsidRDefault="00000000">
      <w:pPr>
        <w:spacing w:before="280" w:after="28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Centre for Trade Policy and Development</w:t>
      </w:r>
    </w:p>
    <w:p w14:paraId="00000057" w14:textId="77777777" w:rsidR="00DF2656" w:rsidRDefault="00000000">
      <w:pPr>
        <w:spacing w:before="280" w:after="28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Civil Society for Poverty Reduction</w:t>
      </w:r>
    </w:p>
    <w:p w14:paraId="00000058" w14:textId="77777777" w:rsidR="00DF2656" w:rsidRDefault="00000000">
      <w:pPr>
        <w:spacing w:before="280" w:after="28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Council of Churches in Zambia</w:t>
      </w:r>
    </w:p>
    <w:p w14:paraId="00000059" w14:textId="77777777" w:rsidR="00DF2656" w:rsidRDefault="00000000">
      <w:pPr>
        <w:spacing w:before="280" w:after="28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Development Education Community Project</w:t>
      </w:r>
    </w:p>
    <w:p w14:paraId="0000005A" w14:textId="77777777" w:rsidR="00DF2656" w:rsidRDefault="00000000">
      <w:pPr>
        <w:spacing w:before="280" w:after="28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Mineworkers Union of Zambia</w:t>
      </w:r>
    </w:p>
    <w:p w14:paraId="0000005B" w14:textId="0D1DF304" w:rsidR="00DF2656" w:rsidRDefault="00000000">
      <w:pPr>
        <w:spacing w:before="280" w:after="28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Oxfam </w:t>
      </w:r>
      <w:r w:rsidR="00B31206">
        <w:rPr>
          <w:rFonts w:ascii="Times New Roman" w:eastAsia="Times New Roman" w:hAnsi="Times New Roman" w:cs="Times New Roman"/>
          <w:color w:val="000000"/>
          <w:sz w:val="32"/>
          <w:szCs w:val="32"/>
        </w:rPr>
        <w:t xml:space="preserve">in </w:t>
      </w:r>
      <w:r>
        <w:rPr>
          <w:rFonts w:ascii="Times New Roman" w:eastAsia="Times New Roman" w:hAnsi="Times New Roman" w:cs="Times New Roman"/>
          <w:color w:val="000000"/>
          <w:sz w:val="32"/>
          <w:szCs w:val="32"/>
        </w:rPr>
        <w:t>S</w:t>
      </w:r>
      <w:r w:rsidR="00B31206">
        <w:rPr>
          <w:rFonts w:ascii="Times New Roman" w:eastAsia="Times New Roman" w:hAnsi="Times New Roman" w:cs="Times New Roman"/>
          <w:color w:val="000000"/>
          <w:sz w:val="32"/>
          <w:szCs w:val="32"/>
        </w:rPr>
        <w:t xml:space="preserve">outhern </w:t>
      </w:r>
      <w:r>
        <w:rPr>
          <w:rFonts w:ascii="Times New Roman" w:eastAsia="Times New Roman" w:hAnsi="Times New Roman" w:cs="Times New Roman"/>
          <w:color w:val="000000"/>
          <w:sz w:val="32"/>
          <w:szCs w:val="32"/>
        </w:rPr>
        <w:t>A</w:t>
      </w:r>
      <w:r w:rsidR="00B31206">
        <w:rPr>
          <w:rFonts w:ascii="Times New Roman" w:eastAsia="Times New Roman" w:hAnsi="Times New Roman" w:cs="Times New Roman"/>
          <w:color w:val="000000"/>
          <w:sz w:val="32"/>
          <w:szCs w:val="32"/>
        </w:rPr>
        <w:t>frica</w:t>
      </w:r>
    </w:p>
    <w:p w14:paraId="0000005C" w14:textId="77777777" w:rsidR="00DF2656" w:rsidRDefault="00000000">
      <w:pPr>
        <w:spacing w:before="280" w:after="28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Southern African Resource watch</w:t>
      </w:r>
    </w:p>
    <w:p w14:paraId="0000005D" w14:textId="77777777" w:rsidR="00DF2656" w:rsidRDefault="00000000">
      <w:pPr>
        <w:spacing w:before="280" w:after="28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Transparency International Zambia</w:t>
      </w:r>
    </w:p>
    <w:p w14:paraId="0000005E" w14:textId="77777777" w:rsidR="00DF2656" w:rsidRDefault="00000000">
      <w:pPr>
        <w:spacing w:before="280" w:after="280"/>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Zambia Institute of Environmental Education</w:t>
      </w:r>
    </w:p>
    <w:p w14:paraId="0000005F" w14:textId="77777777" w:rsidR="00DF2656" w:rsidRDefault="00DF2656">
      <w:pPr>
        <w:spacing w:before="280" w:after="280"/>
        <w:jc w:val="both"/>
        <w:rPr>
          <w:rFonts w:ascii="Gill Sans" w:eastAsia="Gill Sans" w:hAnsi="Gill Sans" w:cs="Gill Sans"/>
        </w:rPr>
      </w:pPr>
    </w:p>
    <w:p w14:paraId="00000060" w14:textId="77777777" w:rsidR="00DF2656" w:rsidRDefault="00DF2656">
      <w:pPr>
        <w:pBdr>
          <w:top w:val="nil"/>
          <w:left w:val="nil"/>
          <w:bottom w:val="nil"/>
          <w:right w:val="nil"/>
          <w:between w:val="nil"/>
        </w:pBdr>
        <w:jc w:val="both"/>
        <w:rPr>
          <w:rFonts w:ascii="Times New Roman" w:eastAsia="Times New Roman" w:hAnsi="Times New Roman" w:cs="Times New Roman"/>
          <w:color w:val="000000"/>
          <w:sz w:val="32"/>
          <w:szCs w:val="32"/>
        </w:rPr>
      </w:pPr>
    </w:p>
    <w:p w14:paraId="00000061" w14:textId="77777777" w:rsidR="00DF2656" w:rsidRDefault="00DF2656">
      <w:pPr>
        <w:pBdr>
          <w:top w:val="nil"/>
          <w:left w:val="nil"/>
          <w:bottom w:val="nil"/>
          <w:right w:val="nil"/>
          <w:between w:val="nil"/>
        </w:pBdr>
        <w:jc w:val="both"/>
        <w:rPr>
          <w:rFonts w:ascii="Times New Roman" w:eastAsia="Times New Roman" w:hAnsi="Times New Roman" w:cs="Times New Roman"/>
          <w:color w:val="000000"/>
          <w:sz w:val="32"/>
          <w:szCs w:val="32"/>
        </w:rPr>
      </w:pPr>
    </w:p>
    <w:p w14:paraId="00000062" w14:textId="77777777" w:rsidR="00DF2656" w:rsidRDefault="00DF2656">
      <w:pPr>
        <w:jc w:val="both"/>
        <w:rPr>
          <w:rFonts w:ascii="Times New Roman" w:eastAsia="Times New Roman" w:hAnsi="Times New Roman" w:cs="Times New Roman"/>
          <w:sz w:val="32"/>
          <w:szCs w:val="32"/>
        </w:rPr>
      </w:pPr>
    </w:p>
    <w:p w14:paraId="00000063" w14:textId="77777777" w:rsidR="00DF2656" w:rsidRDefault="00DF2656">
      <w:pPr>
        <w:pBdr>
          <w:top w:val="nil"/>
          <w:left w:val="nil"/>
          <w:bottom w:val="nil"/>
          <w:right w:val="nil"/>
          <w:between w:val="nil"/>
        </w:pBdr>
        <w:jc w:val="both"/>
        <w:rPr>
          <w:rFonts w:ascii="Times New Roman" w:eastAsia="Times New Roman" w:hAnsi="Times New Roman" w:cs="Times New Roman"/>
          <w:color w:val="000000"/>
          <w:sz w:val="32"/>
          <w:szCs w:val="32"/>
        </w:rPr>
      </w:pPr>
    </w:p>
    <w:p w14:paraId="00000064" w14:textId="77777777" w:rsidR="00DF2656" w:rsidRDefault="00DF2656">
      <w:pPr>
        <w:jc w:val="both"/>
        <w:rPr>
          <w:rFonts w:ascii="Times New Roman" w:eastAsia="Times New Roman" w:hAnsi="Times New Roman" w:cs="Times New Roman"/>
          <w:sz w:val="32"/>
          <w:szCs w:val="32"/>
        </w:rPr>
      </w:pPr>
    </w:p>
    <w:p w14:paraId="00000065" w14:textId="77777777" w:rsidR="00DF2656" w:rsidRDefault="00DF2656">
      <w:pPr>
        <w:jc w:val="both"/>
        <w:rPr>
          <w:rFonts w:ascii="Times New Roman" w:eastAsia="Times New Roman" w:hAnsi="Times New Roman" w:cs="Times New Roman"/>
          <w:sz w:val="32"/>
          <w:szCs w:val="32"/>
        </w:rPr>
      </w:pPr>
    </w:p>
    <w:p w14:paraId="00000066" w14:textId="77777777" w:rsidR="00DF2656" w:rsidRDefault="00DF2656">
      <w:pPr>
        <w:jc w:val="both"/>
        <w:rPr>
          <w:rFonts w:ascii="Times New Roman" w:eastAsia="Times New Roman" w:hAnsi="Times New Roman" w:cs="Times New Roman"/>
          <w:sz w:val="32"/>
          <w:szCs w:val="32"/>
        </w:rPr>
      </w:pPr>
    </w:p>
    <w:p w14:paraId="00000067" w14:textId="77777777" w:rsidR="00DF2656" w:rsidRDefault="00DF2656">
      <w:pPr>
        <w:jc w:val="both"/>
        <w:rPr>
          <w:rFonts w:ascii="Times New Roman" w:eastAsia="Times New Roman" w:hAnsi="Times New Roman" w:cs="Times New Roman"/>
          <w:sz w:val="32"/>
          <w:szCs w:val="32"/>
        </w:rPr>
      </w:pPr>
    </w:p>
    <w:p w14:paraId="00000068" w14:textId="77777777" w:rsidR="00DF2656" w:rsidRDefault="00DF2656">
      <w:pPr>
        <w:jc w:val="both"/>
        <w:rPr>
          <w:rFonts w:ascii="Times New Roman" w:eastAsia="Times New Roman" w:hAnsi="Times New Roman" w:cs="Times New Roman"/>
          <w:sz w:val="32"/>
          <w:szCs w:val="32"/>
        </w:rPr>
      </w:pPr>
    </w:p>
    <w:p w14:paraId="0000006A" w14:textId="77777777" w:rsidR="00DF2656" w:rsidRDefault="00DF2656">
      <w:pPr>
        <w:jc w:val="both"/>
        <w:rPr>
          <w:rFonts w:ascii="Times New Roman" w:eastAsia="Times New Roman" w:hAnsi="Times New Roman" w:cs="Times New Roman"/>
          <w:sz w:val="32"/>
          <w:szCs w:val="32"/>
        </w:rPr>
      </w:pPr>
    </w:p>
    <w:sectPr w:rsidR="00DF265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Arial"/>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8200C"/>
    <w:multiLevelType w:val="multilevel"/>
    <w:tmpl w:val="646AC8AE"/>
    <w:lvl w:ilvl="0">
      <w:start w:val="1"/>
      <w:numFmt w:val="decimal"/>
      <w:lvlText w:val="%1."/>
      <w:lvlJc w:val="left"/>
      <w:pPr>
        <w:ind w:left="440" w:hanging="360"/>
      </w:p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1" w15:restartNumberingAfterBreak="0">
    <w:nsid w:val="54882657"/>
    <w:multiLevelType w:val="multilevel"/>
    <w:tmpl w:val="25AEF0F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6D25C29"/>
    <w:multiLevelType w:val="multilevel"/>
    <w:tmpl w:val="B574A72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7DB1684"/>
    <w:multiLevelType w:val="multilevel"/>
    <w:tmpl w:val="DCB6EF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143893">
    <w:abstractNumId w:val="2"/>
  </w:num>
  <w:num w:numId="2" w16cid:durableId="1441757045">
    <w:abstractNumId w:val="3"/>
  </w:num>
  <w:num w:numId="3" w16cid:durableId="365065047">
    <w:abstractNumId w:val="0"/>
  </w:num>
  <w:num w:numId="4" w16cid:durableId="767696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56"/>
    <w:rsid w:val="00123252"/>
    <w:rsid w:val="002E1A9A"/>
    <w:rsid w:val="00570955"/>
    <w:rsid w:val="00710570"/>
    <w:rsid w:val="00B31206"/>
    <w:rsid w:val="00DF265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F5D8"/>
  <w15:docId w15:val="{41AE3AB9-ABC8-1043-803F-360DB90B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2038</Words>
  <Characters>11621</Characters>
  <Application>Microsoft Office Word</Application>
  <DocSecurity>0</DocSecurity>
  <Lines>96</Lines>
  <Paragraphs>27</Paragraphs>
  <ScaleCrop>false</ScaleCrop>
  <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Sianjalika</cp:lastModifiedBy>
  <cp:revision>6</cp:revision>
  <dcterms:created xsi:type="dcterms:W3CDTF">2023-08-24T09:28:00Z</dcterms:created>
  <dcterms:modified xsi:type="dcterms:W3CDTF">2023-08-28T11:53:00Z</dcterms:modified>
</cp:coreProperties>
</file>